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92" w:rsidRDefault="00DC1592" w:rsidP="00982DBC">
      <w:pPr>
        <w:rPr>
          <w:rFonts w:cstheme="minorHAnsi"/>
          <w:b/>
          <w:sz w:val="28"/>
          <w:szCs w:val="24"/>
        </w:rPr>
      </w:pPr>
    </w:p>
    <w:p w:rsidR="00126362" w:rsidRPr="00126362" w:rsidRDefault="008C3E27" w:rsidP="00126362">
      <w:pPr>
        <w:rPr>
          <w:rFonts w:cstheme="minorHAnsi"/>
          <w:b/>
          <w:sz w:val="28"/>
          <w:szCs w:val="24"/>
        </w:rPr>
      </w:pPr>
      <w:r>
        <w:rPr>
          <w:rFonts w:cstheme="minorHAnsi"/>
          <w:b/>
          <w:sz w:val="28"/>
          <w:szCs w:val="24"/>
        </w:rPr>
        <w:t xml:space="preserve">March </w:t>
      </w:r>
      <w:r w:rsidR="00126362" w:rsidRPr="000C6BEA">
        <w:rPr>
          <w:rFonts w:cstheme="minorHAnsi"/>
          <w:b/>
          <w:sz w:val="28"/>
          <w:szCs w:val="24"/>
        </w:rPr>
        <w:t>1</w:t>
      </w:r>
      <w:r>
        <w:rPr>
          <w:rFonts w:cstheme="minorHAnsi"/>
          <w:b/>
          <w:sz w:val="28"/>
          <w:szCs w:val="24"/>
        </w:rPr>
        <w:t>1</w:t>
      </w:r>
      <w:r w:rsidR="00126362" w:rsidRPr="000C6BEA">
        <w:rPr>
          <w:rFonts w:cstheme="minorHAnsi"/>
          <w:b/>
          <w:sz w:val="28"/>
          <w:szCs w:val="24"/>
        </w:rPr>
        <w:t>, 20</w:t>
      </w:r>
      <w:r w:rsidR="00126362">
        <w:rPr>
          <w:rFonts w:cstheme="minorHAnsi"/>
          <w:b/>
          <w:sz w:val="28"/>
          <w:szCs w:val="24"/>
        </w:rPr>
        <w:t>1</w:t>
      </w:r>
      <w:r>
        <w:rPr>
          <w:rFonts w:cstheme="minorHAnsi"/>
          <w:b/>
          <w:sz w:val="28"/>
          <w:szCs w:val="24"/>
        </w:rPr>
        <w:t>9</w:t>
      </w:r>
      <w:r w:rsidR="00126362" w:rsidRPr="000C6BEA">
        <w:rPr>
          <w:rFonts w:cstheme="minorHAnsi"/>
          <w:b/>
          <w:sz w:val="28"/>
          <w:szCs w:val="24"/>
        </w:rPr>
        <w:t xml:space="preserve"> </w:t>
      </w:r>
      <w:r w:rsidR="00126362" w:rsidRPr="00126362">
        <w:rPr>
          <w:rFonts w:cstheme="minorHAnsi"/>
          <w:b/>
          <w:sz w:val="28"/>
          <w:szCs w:val="24"/>
        </w:rPr>
        <w:t>ACTEM Business Meeting</w:t>
      </w:r>
    </w:p>
    <w:p w:rsidR="00DC1592" w:rsidRDefault="00DC1592" w:rsidP="00982DBC">
      <w:pPr>
        <w:rPr>
          <w:rFonts w:cstheme="minorHAnsi"/>
          <w:b/>
          <w:sz w:val="28"/>
          <w:szCs w:val="24"/>
        </w:rPr>
      </w:pPr>
      <w:r>
        <w:rPr>
          <w:rFonts w:cstheme="minorHAnsi"/>
          <w:b/>
          <w:sz w:val="28"/>
          <w:szCs w:val="24"/>
        </w:rPr>
        <w:t xml:space="preserve">Anne </w:t>
      </w:r>
      <w:proofErr w:type="spellStart"/>
      <w:r>
        <w:rPr>
          <w:rFonts w:cstheme="minorHAnsi"/>
          <w:b/>
          <w:sz w:val="28"/>
          <w:szCs w:val="24"/>
        </w:rPr>
        <w:t>Perloff</w:t>
      </w:r>
      <w:proofErr w:type="spellEnd"/>
    </w:p>
    <w:p w:rsidR="00003048" w:rsidRDefault="00003048" w:rsidP="00982DBC">
      <w:pPr>
        <w:rPr>
          <w:rFonts w:cstheme="minorHAnsi"/>
          <w:b/>
          <w:color w:val="0070C0"/>
          <w:sz w:val="28"/>
          <w:szCs w:val="24"/>
          <w:u w:val="single"/>
        </w:rPr>
      </w:pPr>
    </w:p>
    <w:p w:rsidR="00126362" w:rsidRDefault="00126362" w:rsidP="00982DBC">
      <w:pPr>
        <w:rPr>
          <w:rFonts w:cstheme="minorHAnsi"/>
          <w:b/>
          <w:color w:val="0070C0"/>
          <w:sz w:val="28"/>
          <w:szCs w:val="24"/>
          <w:u w:val="single"/>
        </w:rPr>
      </w:pPr>
    </w:p>
    <w:p w:rsidR="008C3E27" w:rsidRDefault="008C3E27" w:rsidP="008C3E27">
      <w:pPr>
        <w:rPr>
          <w:rFonts w:cstheme="minorHAnsi"/>
          <w:b/>
          <w:color w:val="0070C0"/>
          <w:sz w:val="28"/>
          <w:szCs w:val="24"/>
          <w:u w:val="single"/>
        </w:rPr>
      </w:pPr>
      <w:r>
        <w:rPr>
          <w:rFonts w:cstheme="minorHAnsi"/>
          <w:b/>
          <w:color w:val="0070C0"/>
          <w:sz w:val="28"/>
          <w:szCs w:val="24"/>
          <w:u w:val="single"/>
        </w:rPr>
        <w:t>E-Rate Updates</w:t>
      </w:r>
    </w:p>
    <w:p w:rsidR="008C3E27" w:rsidRDefault="008C3E27" w:rsidP="008C3E27">
      <w:pPr>
        <w:rPr>
          <w:rFonts w:cstheme="minorHAnsi"/>
        </w:rPr>
      </w:pPr>
    </w:p>
    <w:p w:rsidR="008C3E27" w:rsidRDefault="008C3E27" w:rsidP="008C3E27">
      <w:pPr>
        <w:pStyle w:val="ListParagraph"/>
        <w:numPr>
          <w:ilvl w:val="0"/>
          <w:numId w:val="9"/>
        </w:numPr>
        <w:rPr>
          <w:rFonts w:cstheme="minorHAnsi"/>
          <w:b/>
          <w:sz w:val="24"/>
          <w:szCs w:val="24"/>
        </w:rPr>
      </w:pPr>
      <w:r>
        <w:rPr>
          <w:rFonts w:cstheme="minorHAnsi"/>
          <w:b/>
          <w:sz w:val="24"/>
          <w:szCs w:val="24"/>
        </w:rPr>
        <w:t>FY2019 FCC Form 470</w:t>
      </w:r>
    </w:p>
    <w:p w:rsidR="008C3E27" w:rsidRDefault="008C3E27" w:rsidP="008C3E27">
      <w:pPr>
        <w:pStyle w:val="ListParagraph"/>
        <w:ind w:left="360"/>
        <w:rPr>
          <w:rFonts w:cstheme="minorHAnsi"/>
        </w:rPr>
      </w:pPr>
    </w:p>
    <w:p w:rsidR="008C3E27" w:rsidRDefault="008C3E27" w:rsidP="008C3E27">
      <w:pPr>
        <w:pStyle w:val="ListParagraph"/>
        <w:ind w:left="360"/>
        <w:rPr>
          <w:rFonts w:cstheme="minorHAnsi"/>
        </w:rPr>
      </w:pPr>
      <w:r>
        <w:rPr>
          <w:rFonts w:cstheme="minorHAnsi"/>
        </w:rPr>
        <w:t>The deadline for filing an FY2019 Form 470 was February 27, 2019.</w:t>
      </w:r>
    </w:p>
    <w:p w:rsidR="008C3E27" w:rsidRDefault="008C3E27" w:rsidP="008C3E27">
      <w:pPr>
        <w:pStyle w:val="ListParagraph"/>
        <w:ind w:left="360"/>
        <w:rPr>
          <w:rFonts w:cstheme="minorHAnsi"/>
        </w:rPr>
      </w:pPr>
    </w:p>
    <w:p w:rsidR="008C3E27" w:rsidRDefault="008C3E27" w:rsidP="008C3E27">
      <w:pPr>
        <w:rPr>
          <w:rFonts w:cstheme="minorHAnsi"/>
        </w:rPr>
      </w:pPr>
    </w:p>
    <w:p w:rsidR="008C3E27" w:rsidRDefault="008C3E27" w:rsidP="008C3E27">
      <w:pPr>
        <w:pStyle w:val="ListParagraph"/>
        <w:numPr>
          <w:ilvl w:val="0"/>
          <w:numId w:val="9"/>
        </w:numPr>
        <w:rPr>
          <w:rFonts w:cstheme="minorHAnsi"/>
          <w:b/>
          <w:sz w:val="24"/>
          <w:szCs w:val="24"/>
        </w:rPr>
      </w:pPr>
      <w:r>
        <w:rPr>
          <w:rFonts w:cstheme="minorHAnsi"/>
          <w:b/>
          <w:sz w:val="24"/>
          <w:szCs w:val="24"/>
        </w:rPr>
        <w:t xml:space="preserve">FY2019 FCC Form 471 </w:t>
      </w:r>
    </w:p>
    <w:p w:rsidR="008C3E27" w:rsidRDefault="008C3E27" w:rsidP="008C3E27">
      <w:pPr>
        <w:pStyle w:val="ListParagraph"/>
        <w:ind w:left="360"/>
        <w:rPr>
          <w:rFonts w:cstheme="minorHAnsi"/>
          <w:b/>
        </w:rPr>
      </w:pPr>
    </w:p>
    <w:p w:rsidR="008C3E27" w:rsidRDefault="008C3E27" w:rsidP="008C3E27">
      <w:pPr>
        <w:ind w:left="360"/>
        <w:rPr>
          <w:rFonts w:cstheme="minorHAnsi"/>
          <w:b/>
        </w:rPr>
      </w:pPr>
      <w:r>
        <w:rPr>
          <w:rFonts w:cstheme="minorHAnsi"/>
        </w:rPr>
        <w:t>The FY2019 Form 471 application filing window will close on March 27, 2019 at 11:59 PM EDT.</w:t>
      </w:r>
    </w:p>
    <w:p w:rsidR="008C3E27" w:rsidRDefault="008C3E27" w:rsidP="008C3E27">
      <w:pPr>
        <w:pStyle w:val="ListParagraph"/>
        <w:rPr>
          <w:rFonts w:cstheme="minorHAnsi"/>
          <w:b/>
        </w:rPr>
      </w:pPr>
    </w:p>
    <w:p w:rsidR="008C3E27" w:rsidRDefault="008C3E27" w:rsidP="008C3E27">
      <w:pPr>
        <w:ind w:left="360"/>
        <w:rPr>
          <w:rFonts w:cstheme="minorHAnsi"/>
        </w:rPr>
      </w:pPr>
      <w:r>
        <w:rPr>
          <w:rFonts w:cstheme="minorHAnsi"/>
        </w:rPr>
        <w:t>If you filed a new Form 470 this year:</w:t>
      </w:r>
    </w:p>
    <w:p w:rsidR="008C3E27" w:rsidRDefault="008C3E27" w:rsidP="008C3E27">
      <w:pPr>
        <w:pStyle w:val="ListParagraph"/>
        <w:numPr>
          <w:ilvl w:val="0"/>
          <w:numId w:val="10"/>
        </w:numPr>
        <w:ind w:left="1080"/>
        <w:rPr>
          <w:rFonts w:cstheme="minorHAnsi"/>
        </w:rPr>
      </w:pPr>
      <w:r>
        <w:rPr>
          <w:rFonts w:cstheme="minorHAnsi"/>
        </w:rPr>
        <w:t>You cannot file the Form 471 before the 28-day waiting period is completed</w:t>
      </w:r>
    </w:p>
    <w:p w:rsidR="008C3E27" w:rsidRDefault="008C3E27" w:rsidP="008C3E27">
      <w:pPr>
        <w:pStyle w:val="ListParagraph"/>
        <w:numPr>
          <w:ilvl w:val="0"/>
          <w:numId w:val="10"/>
        </w:numPr>
        <w:ind w:left="1080"/>
        <w:rPr>
          <w:rFonts w:cstheme="minorHAnsi"/>
        </w:rPr>
      </w:pPr>
      <w:r>
        <w:rPr>
          <w:rFonts w:cstheme="minorHAnsi"/>
        </w:rPr>
        <w:t>The Contract Award Date that you report must be on or after the Allowable Contract Date but before the date you certify the Form 471</w:t>
      </w:r>
    </w:p>
    <w:p w:rsidR="008C3E27" w:rsidRDefault="008C3E27" w:rsidP="008C3E27">
      <w:pPr>
        <w:rPr>
          <w:rFonts w:cstheme="minorHAnsi"/>
        </w:rPr>
      </w:pPr>
    </w:p>
    <w:p w:rsidR="008C3E27" w:rsidRDefault="008C3E27" w:rsidP="008C3E27">
      <w:pPr>
        <w:ind w:left="360"/>
        <w:rPr>
          <w:rFonts w:cstheme="minorHAnsi"/>
        </w:rPr>
      </w:pPr>
      <w:r>
        <w:rPr>
          <w:rFonts w:cstheme="minorHAnsi"/>
        </w:rPr>
        <w:t>Before you get into the form itself, you will need to complete the Contracts Module within your EPC profile:</w:t>
      </w:r>
    </w:p>
    <w:p w:rsidR="008C3E27" w:rsidRDefault="008C3E27" w:rsidP="008C3E27">
      <w:pPr>
        <w:pStyle w:val="ListParagraph"/>
        <w:numPr>
          <w:ilvl w:val="0"/>
          <w:numId w:val="13"/>
        </w:numPr>
        <w:ind w:left="1080"/>
        <w:rPr>
          <w:rFonts w:cstheme="minorHAnsi"/>
        </w:rPr>
      </w:pPr>
      <w:r w:rsidRPr="008C3E27">
        <w:rPr>
          <w:rFonts w:cstheme="minorHAnsi"/>
          <w:i/>
        </w:rPr>
        <w:t xml:space="preserve">If you are signing a new contract for FY2019: </w:t>
      </w:r>
      <w:r>
        <w:rPr>
          <w:rFonts w:cstheme="minorHAnsi"/>
        </w:rPr>
        <w:t>You must add a record for it in the Contracts Module before you can reference the contract ID in your form (it is easier if you do this before beginning your form)</w:t>
      </w:r>
    </w:p>
    <w:p w:rsidR="008C3E27" w:rsidRDefault="008C3E27" w:rsidP="008C3E27">
      <w:pPr>
        <w:pStyle w:val="ListParagraph"/>
        <w:numPr>
          <w:ilvl w:val="0"/>
          <w:numId w:val="13"/>
        </w:numPr>
        <w:ind w:left="1080"/>
        <w:rPr>
          <w:rFonts w:cstheme="minorHAnsi"/>
        </w:rPr>
      </w:pPr>
      <w:r w:rsidRPr="008C3E27">
        <w:rPr>
          <w:rFonts w:cstheme="minorHAnsi"/>
          <w:i/>
        </w:rPr>
        <w:t xml:space="preserve">If you have </w:t>
      </w:r>
      <w:r w:rsidRPr="008C3E27">
        <w:rPr>
          <w:i/>
        </w:rPr>
        <w:t xml:space="preserve">an existing multi-year contract in place for which you created a contract record in EPC </w:t>
      </w:r>
      <w:r w:rsidRPr="008C3E27">
        <w:rPr>
          <w:i/>
          <w:u w:val="single"/>
        </w:rPr>
        <w:t>and</w:t>
      </w:r>
      <w:r w:rsidRPr="008C3E27">
        <w:rPr>
          <w:i/>
        </w:rPr>
        <w:t xml:space="preserve"> the contract extends through FY2019:</w:t>
      </w:r>
      <w:r>
        <w:t xml:space="preserve"> You do not need to add another record. Simply refer to the same contract ID in your FY2019 form.  </w:t>
      </w:r>
    </w:p>
    <w:p w:rsidR="008C3E27" w:rsidRDefault="008C3E27" w:rsidP="008C3E27">
      <w:pPr>
        <w:pStyle w:val="ListParagraph"/>
        <w:numPr>
          <w:ilvl w:val="0"/>
          <w:numId w:val="13"/>
        </w:numPr>
        <w:ind w:left="1080"/>
        <w:rPr>
          <w:rFonts w:cstheme="minorHAnsi"/>
        </w:rPr>
      </w:pPr>
      <w:r w:rsidRPr="008C3E27">
        <w:rPr>
          <w:rFonts w:cstheme="minorHAnsi"/>
          <w:i/>
        </w:rPr>
        <w:t xml:space="preserve">If you have </w:t>
      </w:r>
      <w:r w:rsidRPr="008C3E27">
        <w:rPr>
          <w:i/>
        </w:rPr>
        <w:t xml:space="preserve">an existing multi-year contract in place for which you created a contract record in EPC </w:t>
      </w:r>
      <w:r w:rsidRPr="008C3E27">
        <w:rPr>
          <w:i/>
          <w:u w:val="single"/>
        </w:rPr>
        <w:t>and</w:t>
      </w:r>
      <w:r w:rsidRPr="008C3E27">
        <w:rPr>
          <w:i/>
        </w:rPr>
        <w:t xml:space="preserve"> the contract extends through FY2019 </w:t>
      </w:r>
      <w:r w:rsidRPr="008C3E27">
        <w:rPr>
          <w:i/>
          <w:u w:val="single"/>
        </w:rPr>
        <w:t>and</w:t>
      </w:r>
      <w:r w:rsidRPr="008C3E27">
        <w:rPr>
          <w:i/>
        </w:rPr>
        <w:t xml:space="preserve"> it was amended (for example if you exercised a voluntary extension):</w:t>
      </w:r>
      <w:r>
        <w:t xml:space="preserve">  The same guidance applies. Simply refer to the same contract ID in your FY2019 form. Be prepared to provide the amendment to your PIA reviewer. </w:t>
      </w:r>
    </w:p>
    <w:p w:rsidR="008C3E27" w:rsidRDefault="008C3E27" w:rsidP="008C3E27">
      <w:pPr>
        <w:rPr>
          <w:rFonts w:cstheme="minorHAnsi"/>
        </w:rPr>
      </w:pPr>
    </w:p>
    <w:p w:rsidR="008C3E27" w:rsidRPr="008C3E27" w:rsidRDefault="008C3E27" w:rsidP="008C3E27">
      <w:pPr>
        <w:ind w:left="360"/>
        <w:rPr>
          <w:rFonts w:cstheme="minorHAnsi"/>
        </w:rPr>
      </w:pPr>
      <w:r>
        <w:rPr>
          <w:rFonts w:cstheme="minorHAnsi"/>
        </w:rPr>
        <w:t>Connectivity Questions</w:t>
      </w:r>
      <w:r w:rsidRPr="008C3E27">
        <w:rPr>
          <w:rFonts w:cstheme="minorHAnsi"/>
        </w:rPr>
        <w:t xml:space="preserve"> </w:t>
      </w:r>
      <w:r>
        <w:rPr>
          <w:rFonts w:cstheme="minorHAnsi"/>
        </w:rPr>
        <w:t>no longer need to be answered.</w:t>
      </w:r>
    </w:p>
    <w:p w:rsidR="008C3E27" w:rsidRDefault="008C3E27" w:rsidP="008C3E27">
      <w:pPr>
        <w:ind w:left="360"/>
        <w:rPr>
          <w:rFonts w:cstheme="minorHAnsi"/>
        </w:rPr>
      </w:pPr>
    </w:p>
    <w:p w:rsidR="008C3E27" w:rsidRDefault="008C3E27" w:rsidP="008C3E27">
      <w:pPr>
        <w:ind w:firstLine="360"/>
        <w:rPr>
          <w:rFonts w:cstheme="minorHAnsi"/>
        </w:rPr>
      </w:pPr>
      <w:r>
        <w:rPr>
          <w:rFonts w:cstheme="minorHAnsi"/>
        </w:rPr>
        <w:t>Guides for Form 471 activities are available at the Maine E-Rate Resources website (note the new URL):</w:t>
      </w:r>
    </w:p>
    <w:p w:rsidR="008C3E27" w:rsidRDefault="008C3E27" w:rsidP="008C3E27">
      <w:pPr>
        <w:tabs>
          <w:tab w:val="center" w:pos="5400"/>
        </w:tabs>
        <w:ind w:left="720"/>
      </w:pPr>
      <w:r w:rsidRPr="008C3E27">
        <w:t xml:space="preserve">http://erate.networkmaine.net/EPC/EPC.htm </w:t>
      </w:r>
    </w:p>
    <w:p w:rsidR="008C3E27" w:rsidRDefault="008C3E27" w:rsidP="008C3E27">
      <w:pPr>
        <w:tabs>
          <w:tab w:val="center" w:pos="5400"/>
        </w:tabs>
        <w:ind w:left="720"/>
        <w:rPr>
          <w:rFonts w:cstheme="minorHAnsi"/>
        </w:rPr>
      </w:pPr>
      <w:proofErr w:type="gramStart"/>
      <w:r>
        <w:rPr>
          <w:rFonts w:cstheme="minorHAnsi"/>
        </w:rPr>
        <w:t>or</w:t>
      </w:r>
      <w:proofErr w:type="gramEnd"/>
      <w:r>
        <w:rPr>
          <w:rFonts w:cstheme="minorHAnsi"/>
        </w:rPr>
        <w:t xml:space="preserve"> </w:t>
      </w:r>
    </w:p>
    <w:p w:rsidR="008C3E27" w:rsidRDefault="008C3E27" w:rsidP="008C3E27">
      <w:pPr>
        <w:tabs>
          <w:tab w:val="center" w:pos="5400"/>
        </w:tabs>
        <w:ind w:left="720"/>
        <w:rPr>
          <w:rFonts w:cstheme="minorHAnsi"/>
        </w:rPr>
      </w:pPr>
      <w:proofErr w:type="gramStart"/>
      <w:r>
        <w:rPr>
          <w:rFonts w:cstheme="minorHAnsi"/>
        </w:rPr>
        <w:t>go</w:t>
      </w:r>
      <w:proofErr w:type="gramEnd"/>
      <w:r>
        <w:rPr>
          <w:rFonts w:cstheme="minorHAnsi"/>
        </w:rPr>
        <w:t xml:space="preserve"> to erate.networkmaine.net and click on the link for EPC Training Guides</w:t>
      </w:r>
      <w:r>
        <w:rPr>
          <w:rFonts w:cstheme="minorHAnsi"/>
        </w:rPr>
        <w:tab/>
      </w:r>
    </w:p>
    <w:p w:rsidR="00126362" w:rsidRDefault="00126362" w:rsidP="00982DBC">
      <w:pPr>
        <w:rPr>
          <w:rFonts w:cstheme="minorHAnsi"/>
          <w:b/>
          <w:color w:val="0070C0"/>
          <w:sz w:val="28"/>
          <w:szCs w:val="24"/>
          <w:u w:val="single"/>
        </w:rPr>
      </w:pPr>
    </w:p>
    <w:p w:rsidR="008C3E27" w:rsidRDefault="008C3E27" w:rsidP="00126362">
      <w:pPr>
        <w:ind w:left="360"/>
        <w:rPr>
          <w:rFonts w:cstheme="minorHAnsi"/>
          <w:b/>
          <w:color w:val="0070C0"/>
          <w:sz w:val="28"/>
          <w:szCs w:val="24"/>
          <w:u w:val="single"/>
        </w:rPr>
      </w:pPr>
    </w:p>
    <w:p w:rsidR="007207A6" w:rsidRDefault="007207A6" w:rsidP="007207A6">
      <w:pPr>
        <w:pStyle w:val="ListParagraph"/>
        <w:numPr>
          <w:ilvl w:val="0"/>
          <w:numId w:val="9"/>
        </w:numPr>
        <w:rPr>
          <w:rFonts w:cstheme="minorHAnsi"/>
          <w:b/>
          <w:sz w:val="24"/>
          <w:szCs w:val="24"/>
        </w:rPr>
      </w:pPr>
      <w:r>
        <w:rPr>
          <w:rFonts w:cstheme="minorHAnsi"/>
          <w:b/>
          <w:sz w:val="24"/>
          <w:szCs w:val="24"/>
        </w:rPr>
        <w:t>FCC Form 486</w:t>
      </w:r>
    </w:p>
    <w:p w:rsidR="007207A6" w:rsidRDefault="007207A6" w:rsidP="007207A6">
      <w:pPr>
        <w:rPr>
          <w:rFonts w:cstheme="minorHAnsi"/>
        </w:rPr>
      </w:pPr>
    </w:p>
    <w:p w:rsidR="007207A6" w:rsidRDefault="007207A6" w:rsidP="007207A6">
      <w:pPr>
        <w:ind w:left="360"/>
        <w:rPr>
          <w:rFonts w:cstheme="minorHAnsi"/>
        </w:rPr>
      </w:pPr>
      <w:r>
        <w:rPr>
          <w:rFonts w:cstheme="minorHAnsi"/>
        </w:rPr>
        <w:t>After you go through PIA review and receive a Funding Commitment Decision Letter, you will need to file a Form 486 to indicate the start of services. Letters will be sent within EPC.</w:t>
      </w:r>
    </w:p>
    <w:p w:rsidR="007207A6" w:rsidRDefault="007207A6" w:rsidP="007207A6">
      <w:pPr>
        <w:ind w:left="360"/>
        <w:rPr>
          <w:rFonts w:eastAsia="Times New Roman" w:cstheme="minorHAnsi"/>
        </w:rPr>
      </w:pPr>
    </w:p>
    <w:p w:rsidR="007207A6" w:rsidRDefault="007207A6" w:rsidP="007207A6">
      <w:pPr>
        <w:ind w:left="360"/>
        <w:rPr>
          <w:rFonts w:eastAsia="Times New Roman" w:cstheme="minorHAnsi"/>
        </w:rPr>
      </w:pPr>
      <w:r>
        <w:rPr>
          <w:rFonts w:eastAsia="Times New Roman" w:cstheme="minorHAnsi"/>
        </w:rPr>
        <w:t>The Form 486 must be certified no later than 120 days after the service start date or 120 days after the date of the FCDL, whichever is later.</w:t>
      </w:r>
    </w:p>
    <w:p w:rsidR="008C3E27" w:rsidRDefault="008C3E27" w:rsidP="00126362">
      <w:pPr>
        <w:ind w:left="360"/>
        <w:rPr>
          <w:rFonts w:cstheme="minorHAnsi"/>
          <w:b/>
          <w:color w:val="0070C0"/>
          <w:sz w:val="28"/>
          <w:szCs w:val="24"/>
          <w:u w:val="single"/>
        </w:rPr>
      </w:pPr>
    </w:p>
    <w:p w:rsidR="008C3E27" w:rsidRDefault="008C3E27" w:rsidP="00126362">
      <w:pPr>
        <w:ind w:left="360"/>
        <w:rPr>
          <w:rFonts w:cstheme="minorHAnsi"/>
          <w:b/>
          <w:color w:val="0070C0"/>
          <w:sz w:val="28"/>
          <w:szCs w:val="24"/>
          <w:u w:val="single"/>
        </w:rPr>
      </w:pPr>
    </w:p>
    <w:p w:rsidR="008C3E27" w:rsidRDefault="008C3E27" w:rsidP="00126362">
      <w:pPr>
        <w:ind w:left="360"/>
        <w:rPr>
          <w:rFonts w:cstheme="minorHAnsi"/>
          <w:b/>
          <w:color w:val="0070C0"/>
          <w:sz w:val="28"/>
          <w:szCs w:val="24"/>
          <w:u w:val="single"/>
        </w:rPr>
      </w:pPr>
    </w:p>
    <w:p w:rsidR="007207A6" w:rsidRDefault="007207A6" w:rsidP="007207A6">
      <w:pPr>
        <w:pStyle w:val="ListParagraph"/>
        <w:numPr>
          <w:ilvl w:val="0"/>
          <w:numId w:val="9"/>
        </w:numPr>
        <w:rPr>
          <w:rFonts w:cstheme="minorHAnsi"/>
          <w:b/>
          <w:sz w:val="24"/>
          <w:szCs w:val="24"/>
        </w:rPr>
      </w:pPr>
      <w:r>
        <w:rPr>
          <w:rFonts w:cstheme="minorHAnsi"/>
          <w:b/>
          <w:sz w:val="24"/>
          <w:szCs w:val="24"/>
        </w:rPr>
        <w:lastRenderedPageBreak/>
        <w:t>Category 2 in FY2020 and Beyond</w:t>
      </w:r>
    </w:p>
    <w:p w:rsidR="008C3E27" w:rsidRDefault="008C3E27" w:rsidP="00126362">
      <w:pPr>
        <w:ind w:left="360"/>
        <w:rPr>
          <w:rFonts w:cstheme="minorHAnsi"/>
          <w:b/>
          <w:color w:val="0070C0"/>
          <w:sz w:val="28"/>
          <w:szCs w:val="24"/>
          <w:u w:val="single"/>
        </w:rPr>
      </w:pPr>
    </w:p>
    <w:p w:rsidR="007207A6" w:rsidRPr="007207A6" w:rsidRDefault="007207A6" w:rsidP="007207A6">
      <w:pPr>
        <w:ind w:left="360"/>
        <w:rPr>
          <w:rFonts w:cstheme="minorHAnsi"/>
        </w:rPr>
      </w:pPr>
      <w:r w:rsidRPr="007207A6">
        <w:rPr>
          <w:rFonts w:cstheme="minorHAnsi"/>
        </w:rPr>
        <w:t>The FCC Wireline Competition Bureau has released a budget report on Category 2 that gives us some possible insight</w:t>
      </w:r>
      <w:r>
        <w:rPr>
          <w:rFonts w:cstheme="minorHAnsi"/>
        </w:rPr>
        <w:t xml:space="preserve"> </w:t>
      </w:r>
      <w:r w:rsidRPr="007207A6">
        <w:rPr>
          <w:rFonts w:cstheme="minorHAnsi"/>
        </w:rPr>
        <w:t>into what C2 may look like in Funding Year 2020 and beyond.</w:t>
      </w:r>
    </w:p>
    <w:p w:rsidR="007207A6" w:rsidRPr="007207A6" w:rsidRDefault="007207A6" w:rsidP="007207A6">
      <w:pPr>
        <w:ind w:left="360"/>
        <w:rPr>
          <w:rFonts w:cstheme="minorHAnsi"/>
          <w:b/>
          <w:color w:val="0070C0"/>
          <w:sz w:val="28"/>
          <w:szCs w:val="24"/>
          <w:u w:val="single"/>
        </w:rPr>
      </w:pPr>
    </w:p>
    <w:p w:rsidR="007207A6" w:rsidRDefault="007207A6" w:rsidP="007207A6">
      <w:pPr>
        <w:ind w:left="360"/>
        <w:rPr>
          <w:rFonts w:cstheme="minorHAnsi"/>
        </w:rPr>
      </w:pPr>
      <w:r w:rsidRPr="007207A6">
        <w:rPr>
          <w:rFonts w:cstheme="minorHAnsi"/>
        </w:rPr>
        <w:t xml:space="preserve">This report contains recommendations that must be officially adopted by the FCC Commission in order to be implemented. The Commission may choose to adopt the report, but make changes. </w:t>
      </w:r>
    </w:p>
    <w:p w:rsidR="007207A6" w:rsidRDefault="007207A6" w:rsidP="007207A6">
      <w:pPr>
        <w:ind w:left="360"/>
        <w:rPr>
          <w:rFonts w:cstheme="minorHAnsi"/>
        </w:rPr>
      </w:pPr>
    </w:p>
    <w:p w:rsidR="007207A6" w:rsidRPr="007207A6" w:rsidRDefault="007207A6" w:rsidP="007207A6">
      <w:pPr>
        <w:ind w:left="360"/>
        <w:rPr>
          <w:rFonts w:cstheme="minorHAnsi"/>
        </w:rPr>
      </w:pPr>
      <w:r w:rsidRPr="007207A6">
        <w:rPr>
          <w:rFonts w:cstheme="minorHAnsi"/>
        </w:rPr>
        <w:t xml:space="preserve">It is anticipated that the FCC will release a Notice of Proposed Rule Making in order to </w:t>
      </w:r>
      <w:r>
        <w:rPr>
          <w:rFonts w:cstheme="minorHAnsi"/>
        </w:rPr>
        <w:t xml:space="preserve">collect stakeholder </w:t>
      </w:r>
      <w:r w:rsidRPr="007207A6">
        <w:rPr>
          <w:rFonts w:cstheme="minorHAnsi"/>
        </w:rPr>
        <w:t xml:space="preserve">feedback on the specific changes they will be recommending. </w:t>
      </w:r>
    </w:p>
    <w:p w:rsidR="007207A6" w:rsidRPr="007207A6" w:rsidRDefault="007207A6" w:rsidP="007207A6">
      <w:pPr>
        <w:rPr>
          <w:rFonts w:cstheme="minorHAnsi"/>
        </w:rPr>
      </w:pPr>
    </w:p>
    <w:p w:rsidR="007207A6" w:rsidRPr="007207A6" w:rsidRDefault="007207A6" w:rsidP="007207A6">
      <w:pPr>
        <w:ind w:left="360"/>
        <w:rPr>
          <w:rFonts w:cstheme="minorHAnsi"/>
          <w:b/>
        </w:rPr>
      </w:pPr>
      <w:r w:rsidRPr="007207A6">
        <w:rPr>
          <w:rFonts w:cstheme="minorHAnsi"/>
          <w:b/>
        </w:rPr>
        <w:t>The Report's Conclusions:</w:t>
      </w:r>
    </w:p>
    <w:p w:rsidR="007207A6" w:rsidRPr="007207A6" w:rsidRDefault="007207A6" w:rsidP="007207A6">
      <w:pPr>
        <w:ind w:left="360"/>
        <w:rPr>
          <w:rFonts w:cstheme="minorHAnsi"/>
        </w:rPr>
      </w:pPr>
    </w:p>
    <w:p w:rsidR="007207A6" w:rsidRPr="007207A6" w:rsidRDefault="007207A6" w:rsidP="007207A6">
      <w:pPr>
        <w:pStyle w:val="ListParagraph"/>
        <w:numPr>
          <w:ilvl w:val="0"/>
          <w:numId w:val="15"/>
        </w:numPr>
        <w:rPr>
          <w:rFonts w:cstheme="minorHAnsi"/>
        </w:rPr>
      </w:pPr>
      <w:r w:rsidRPr="007207A6">
        <w:rPr>
          <w:rFonts w:cstheme="minorHAnsi"/>
        </w:rPr>
        <w:t>"that the category two budget approach is a clear improvement over the two-in-five rules approach"</w:t>
      </w:r>
    </w:p>
    <w:p w:rsidR="007207A6" w:rsidRPr="007207A6" w:rsidRDefault="007207A6" w:rsidP="007207A6">
      <w:pPr>
        <w:pStyle w:val="ListParagraph"/>
        <w:numPr>
          <w:ilvl w:val="0"/>
          <w:numId w:val="15"/>
        </w:numPr>
        <w:rPr>
          <w:rFonts w:cstheme="minorHAnsi"/>
        </w:rPr>
      </w:pPr>
      <w:r w:rsidRPr="007207A6">
        <w:rPr>
          <w:rFonts w:cstheme="minorHAnsi"/>
        </w:rPr>
        <w:t>"that the category two budget approach appears to be sufficient for most schools and libraries"</w:t>
      </w:r>
    </w:p>
    <w:p w:rsidR="007207A6" w:rsidRPr="007207A6" w:rsidRDefault="007207A6" w:rsidP="007207A6">
      <w:pPr>
        <w:pStyle w:val="ListParagraph"/>
        <w:numPr>
          <w:ilvl w:val="0"/>
          <w:numId w:val="15"/>
        </w:numPr>
        <w:rPr>
          <w:rFonts w:cstheme="minorHAnsi"/>
        </w:rPr>
      </w:pPr>
      <w:r w:rsidRPr="007207A6">
        <w:rPr>
          <w:rFonts w:cstheme="minorHAnsi"/>
        </w:rPr>
        <w:t>"that category two budget approach may not be sufficient, however, for schools and libraries at the funding floor, as well as libraries outside of highly-concentrated urban areas"</w:t>
      </w:r>
    </w:p>
    <w:p w:rsidR="007207A6" w:rsidRPr="007207A6" w:rsidRDefault="007207A6" w:rsidP="007207A6">
      <w:pPr>
        <w:rPr>
          <w:rFonts w:cstheme="minorHAnsi"/>
        </w:rPr>
      </w:pPr>
    </w:p>
    <w:p w:rsidR="007207A6" w:rsidRPr="007207A6" w:rsidRDefault="007207A6" w:rsidP="007207A6">
      <w:pPr>
        <w:ind w:left="360"/>
        <w:rPr>
          <w:rFonts w:cstheme="minorHAnsi"/>
          <w:b/>
        </w:rPr>
      </w:pPr>
      <w:r w:rsidRPr="007207A6">
        <w:rPr>
          <w:rFonts w:cstheme="minorHAnsi"/>
          <w:b/>
        </w:rPr>
        <w:t>Recommendations in the Report:</w:t>
      </w:r>
    </w:p>
    <w:p w:rsidR="007207A6" w:rsidRPr="007207A6" w:rsidRDefault="007207A6" w:rsidP="007207A6">
      <w:pPr>
        <w:ind w:left="360"/>
        <w:rPr>
          <w:rFonts w:cstheme="minorHAnsi"/>
        </w:rPr>
      </w:pPr>
    </w:p>
    <w:p w:rsidR="007207A6" w:rsidRPr="0045705B" w:rsidRDefault="007207A6" w:rsidP="0045705B">
      <w:pPr>
        <w:pStyle w:val="ListParagraph"/>
        <w:numPr>
          <w:ilvl w:val="0"/>
          <w:numId w:val="16"/>
        </w:numPr>
        <w:rPr>
          <w:rFonts w:cstheme="minorHAnsi"/>
        </w:rPr>
      </w:pPr>
      <w:r w:rsidRPr="007207A6">
        <w:rPr>
          <w:rFonts w:cstheme="minorHAnsi"/>
        </w:rPr>
        <w:t xml:space="preserve">"We recommend that the Commission retain the category two budget approach. Given the improvements that the category two budget approach has shown over the two-in-five rules, the Bureau does not recommend a return to the two-in-five rules approach."  </w:t>
      </w:r>
    </w:p>
    <w:p w:rsidR="007207A6" w:rsidRPr="007207A6" w:rsidRDefault="007207A6" w:rsidP="007207A6">
      <w:pPr>
        <w:pStyle w:val="ListParagraph"/>
        <w:numPr>
          <w:ilvl w:val="0"/>
          <w:numId w:val="16"/>
        </w:numPr>
        <w:rPr>
          <w:rFonts w:cstheme="minorHAnsi"/>
        </w:rPr>
      </w:pPr>
      <w:r w:rsidRPr="007207A6">
        <w:rPr>
          <w:rFonts w:cstheme="minorHAnsi"/>
        </w:rPr>
        <w:t xml:space="preserve">"Further, we recommend that the Commission consider some targeted changes to the budgets moving forward such as an increase in the funding floor, to the extent that it finds that insufficient funding is deterring entities at the funding floor and rural libraries from participating."  </w:t>
      </w:r>
    </w:p>
    <w:p w:rsidR="007207A6" w:rsidRPr="007207A6" w:rsidRDefault="007207A6" w:rsidP="007207A6">
      <w:pPr>
        <w:rPr>
          <w:rFonts w:cstheme="minorHAnsi"/>
        </w:rPr>
      </w:pPr>
    </w:p>
    <w:p w:rsidR="007207A6" w:rsidRPr="007207A6" w:rsidRDefault="007207A6" w:rsidP="007207A6">
      <w:pPr>
        <w:ind w:left="360"/>
        <w:rPr>
          <w:rFonts w:cstheme="minorHAnsi"/>
          <w:b/>
        </w:rPr>
      </w:pPr>
      <w:r w:rsidRPr="007207A6">
        <w:rPr>
          <w:rFonts w:cstheme="minorHAnsi"/>
          <w:b/>
        </w:rPr>
        <w:t>Projections:</w:t>
      </w:r>
    </w:p>
    <w:p w:rsidR="007207A6" w:rsidRPr="007207A6" w:rsidRDefault="007207A6" w:rsidP="007207A6">
      <w:pPr>
        <w:ind w:left="360"/>
        <w:rPr>
          <w:rFonts w:cstheme="minorHAnsi"/>
        </w:rPr>
      </w:pPr>
    </w:p>
    <w:p w:rsidR="007207A6" w:rsidRPr="007207A6" w:rsidRDefault="007207A6" w:rsidP="007207A6">
      <w:pPr>
        <w:ind w:left="360"/>
        <w:rPr>
          <w:rFonts w:cstheme="minorHAnsi"/>
        </w:rPr>
      </w:pPr>
      <w:r w:rsidRPr="007207A6">
        <w:rPr>
          <w:rFonts w:cstheme="minorHAnsi"/>
        </w:rPr>
        <w:t xml:space="preserve">Although nothing in government can ever be certain, I believe that it may be safe at this point to proceed for planning purposes as if Category 2 in its current state - some form of a 5-year budget - will continue in FY2020. I do not believe that the Commission will choose to allow Category 2 to revert to the 2 in 5 rule given the contents of this report as well as feedback they have </w:t>
      </w:r>
      <w:r>
        <w:rPr>
          <w:rFonts w:cstheme="minorHAnsi"/>
        </w:rPr>
        <w:t xml:space="preserve">already </w:t>
      </w:r>
      <w:r w:rsidRPr="007207A6">
        <w:rPr>
          <w:rFonts w:cstheme="minorHAnsi"/>
        </w:rPr>
        <w:t>received</w:t>
      </w:r>
      <w:r>
        <w:rPr>
          <w:rFonts w:cstheme="minorHAnsi"/>
        </w:rPr>
        <w:t xml:space="preserve"> and will receive</w:t>
      </w:r>
      <w:r w:rsidRPr="007207A6">
        <w:rPr>
          <w:rFonts w:cstheme="minorHAnsi"/>
        </w:rPr>
        <w:t xml:space="preserve"> from E-Rate stakeholders.</w:t>
      </w:r>
    </w:p>
    <w:p w:rsidR="007207A6" w:rsidRPr="007207A6" w:rsidRDefault="007207A6" w:rsidP="007207A6">
      <w:pPr>
        <w:ind w:left="360"/>
        <w:rPr>
          <w:rFonts w:cstheme="minorHAnsi"/>
        </w:rPr>
      </w:pPr>
    </w:p>
    <w:p w:rsidR="007207A6" w:rsidRDefault="007207A6" w:rsidP="007207A6">
      <w:pPr>
        <w:ind w:left="360"/>
        <w:rPr>
          <w:rFonts w:cstheme="minorHAnsi"/>
        </w:rPr>
      </w:pPr>
      <w:r w:rsidRPr="007207A6">
        <w:rPr>
          <w:rFonts w:cstheme="minorHAnsi"/>
        </w:rPr>
        <w:t xml:space="preserve">It seems possible given the report's recommendations that the budget floor may be raised. However, since this is yet to be decided, for planning purposes for FY2020 I would use the current floor and per student / per square foot budget for projecting your budgets. </w:t>
      </w:r>
      <w:bookmarkStart w:id="0" w:name="_GoBack"/>
      <w:bookmarkEnd w:id="0"/>
    </w:p>
    <w:p w:rsidR="007207A6" w:rsidRPr="007207A6" w:rsidRDefault="007207A6" w:rsidP="007207A6">
      <w:pPr>
        <w:ind w:left="360"/>
        <w:rPr>
          <w:rFonts w:cstheme="minorHAnsi"/>
        </w:rPr>
      </w:pPr>
    </w:p>
    <w:p w:rsidR="007207A6" w:rsidRPr="007207A6" w:rsidRDefault="007207A6" w:rsidP="007207A6">
      <w:pPr>
        <w:ind w:left="360"/>
        <w:rPr>
          <w:rFonts w:cstheme="minorHAnsi"/>
        </w:rPr>
      </w:pPr>
      <w:proofErr w:type="gramStart"/>
      <w:r>
        <w:rPr>
          <w:rFonts w:cstheme="minorHAnsi"/>
        </w:rPr>
        <w:t>There are still many questions about Category 2 budgets that remain to be answered or even speculated about.</w:t>
      </w:r>
      <w:proofErr w:type="gramEnd"/>
      <w:r>
        <w:rPr>
          <w:rFonts w:cstheme="minorHAnsi"/>
        </w:rPr>
        <w:t xml:space="preserve">  Stay tuned for further developments.</w:t>
      </w:r>
    </w:p>
    <w:p w:rsidR="007207A6" w:rsidRPr="007207A6" w:rsidRDefault="007207A6" w:rsidP="007207A6">
      <w:pPr>
        <w:ind w:left="360"/>
        <w:rPr>
          <w:rFonts w:cstheme="minorHAnsi"/>
        </w:rPr>
      </w:pPr>
    </w:p>
    <w:p w:rsidR="007207A6" w:rsidRPr="0033319C" w:rsidRDefault="007207A6" w:rsidP="007207A6">
      <w:pPr>
        <w:pStyle w:val="ListParagraph"/>
        <w:rPr>
          <w:rFonts w:cstheme="minorHAnsi"/>
          <w:b/>
          <w:i/>
          <w:sz w:val="24"/>
          <w:szCs w:val="24"/>
        </w:rPr>
      </w:pPr>
      <w:r>
        <w:rPr>
          <w:rFonts w:cstheme="minorHAnsi"/>
          <w:b/>
          <w:i/>
          <w:sz w:val="24"/>
          <w:szCs w:val="24"/>
        </w:rPr>
        <w:t>The</w:t>
      </w:r>
      <w:r w:rsidRPr="0033319C">
        <w:rPr>
          <w:rFonts w:cstheme="minorHAnsi"/>
          <w:b/>
          <w:i/>
          <w:sz w:val="24"/>
          <w:szCs w:val="24"/>
        </w:rPr>
        <w:t xml:space="preserve"> best recommendation is </w:t>
      </w:r>
      <w:r>
        <w:rPr>
          <w:rFonts w:cstheme="minorHAnsi"/>
          <w:b/>
          <w:i/>
          <w:sz w:val="24"/>
          <w:szCs w:val="24"/>
        </w:rPr>
        <w:t xml:space="preserve">still </w:t>
      </w:r>
      <w:r w:rsidRPr="0033319C">
        <w:rPr>
          <w:rFonts w:cstheme="minorHAnsi"/>
          <w:b/>
          <w:i/>
          <w:sz w:val="24"/>
          <w:szCs w:val="24"/>
        </w:rPr>
        <w:t>to utilize any rem</w:t>
      </w:r>
      <w:r>
        <w:rPr>
          <w:rFonts w:cstheme="minorHAnsi"/>
          <w:b/>
          <w:i/>
          <w:sz w:val="24"/>
          <w:szCs w:val="24"/>
        </w:rPr>
        <w:t>aining C2 budget funds you have in FY</w:t>
      </w:r>
      <w:r w:rsidRPr="0033319C">
        <w:rPr>
          <w:rFonts w:cstheme="minorHAnsi"/>
          <w:b/>
          <w:i/>
          <w:sz w:val="24"/>
          <w:szCs w:val="24"/>
        </w:rPr>
        <w:t>2019.</w:t>
      </w:r>
    </w:p>
    <w:p w:rsidR="007207A6" w:rsidRPr="007207A6" w:rsidRDefault="007207A6" w:rsidP="007207A6">
      <w:pPr>
        <w:ind w:left="360"/>
        <w:rPr>
          <w:rFonts w:cstheme="minorHAnsi"/>
        </w:rPr>
      </w:pPr>
    </w:p>
    <w:p w:rsidR="007207A6" w:rsidRPr="007207A6" w:rsidRDefault="007207A6" w:rsidP="007207A6">
      <w:pPr>
        <w:ind w:left="360"/>
        <w:rPr>
          <w:rFonts w:cstheme="minorHAnsi"/>
        </w:rPr>
      </w:pPr>
    </w:p>
    <w:p w:rsidR="0045705B" w:rsidRDefault="0045705B" w:rsidP="0045705B">
      <w:pPr>
        <w:rPr>
          <w:rFonts w:cstheme="minorHAnsi"/>
        </w:rPr>
      </w:pPr>
    </w:p>
    <w:p w:rsidR="00126362" w:rsidRDefault="00126362" w:rsidP="0045705B">
      <w:pPr>
        <w:rPr>
          <w:rFonts w:cstheme="minorHAnsi"/>
          <w:szCs w:val="24"/>
        </w:rPr>
      </w:pPr>
    </w:p>
    <w:p w:rsidR="00126362" w:rsidRPr="00DC1592" w:rsidRDefault="007366BC" w:rsidP="00126362">
      <w:pPr>
        <w:rPr>
          <w:rFonts w:cstheme="minorHAnsi"/>
          <w:b/>
          <w:color w:val="0070C0"/>
          <w:sz w:val="28"/>
          <w:szCs w:val="24"/>
          <w:u w:val="single"/>
        </w:rPr>
      </w:pPr>
      <w:r>
        <w:rPr>
          <w:rFonts w:cstheme="minorHAnsi"/>
          <w:b/>
          <w:color w:val="0070C0"/>
          <w:sz w:val="28"/>
          <w:szCs w:val="24"/>
          <w:u w:val="single"/>
        </w:rPr>
        <w:t>Networkmaine Update</w:t>
      </w:r>
    </w:p>
    <w:p w:rsidR="00126362" w:rsidRDefault="00126362" w:rsidP="00126362">
      <w:pPr>
        <w:ind w:left="720"/>
        <w:rPr>
          <w:rFonts w:cstheme="minorHAnsi"/>
          <w:szCs w:val="24"/>
        </w:rPr>
      </w:pPr>
    </w:p>
    <w:p w:rsidR="00126362" w:rsidRPr="0045705B" w:rsidRDefault="0045705B" w:rsidP="00126362">
      <w:pPr>
        <w:ind w:left="360"/>
        <w:rPr>
          <w:rFonts w:cstheme="minorHAnsi"/>
        </w:rPr>
      </w:pPr>
      <w:r w:rsidRPr="0045705B">
        <w:rPr>
          <w:rFonts w:cstheme="minorHAnsi"/>
        </w:rPr>
        <w:t>No updates at this time</w:t>
      </w:r>
    </w:p>
    <w:p w:rsidR="00126362" w:rsidRPr="00142B47" w:rsidRDefault="00126362" w:rsidP="00126362">
      <w:pPr>
        <w:ind w:left="720"/>
        <w:rPr>
          <w:rFonts w:cstheme="minorHAnsi"/>
          <w:szCs w:val="24"/>
        </w:rPr>
      </w:pPr>
    </w:p>
    <w:sectPr w:rsidR="00126362" w:rsidRPr="00142B47" w:rsidSect="001237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1A18"/>
    <w:multiLevelType w:val="hybridMultilevel"/>
    <w:tmpl w:val="6C1CD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00B1"/>
    <w:multiLevelType w:val="hybridMultilevel"/>
    <w:tmpl w:val="781685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39797D"/>
    <w:multiLevelType w:val="hybridMultilevel"/>
    <w:tmpl w:val="CFBAA2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C6A3F24"/>
    <w:multiLevelType w:val="hybridMultilevel"/>
    <w:tmpl w:val="4C18CB46"/>
    <w:lvl w:ilvl="0" w:tplc="B4C80F90">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872DD"/>
    <w:multiLevelType w:val="multilevel"/>
    <w:tmpl w:val="CDBEA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24B0"/>
    <w:multiLevelType w:val="hybridMultilevel"/>
    <w:tmpl w:val="72CE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C2283"/>
    <w:multiLevelType w:val="hybridMultilevel"/>
    <w:tmpl w:val="B7920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C732B"/>
    <w:multiLevelType w:val="hybridMultilevel"/>
    <w:tmpl w:val="0BCE346C"/>
    <w:lvl w:ilvl="0" w:tplc="29F4BB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E6434B"/>
    <w:multiLevelType w:val="hybridMultilevel"/>
    <w:tmpl w:val="A42CC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065626"/>
    <w:multiLevelType w:val="hybridMultilevel"/>
    <w:tmpl w:val="4C721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DD30D5"/>
    <w:multiLevelType w:val="hybridMultilevel"/>
    <w:tmpl w:val="16F8A12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15:restartNumberingAfterBreak="0">
    <w:nsid w:val="66937433"/>
    <w:multiLevelType w:val="hybridMultilevel"/>
    <w:tmpl w:val="277294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7A0B4075"/>
    <w:multiLevelType w:val="hybridMultilevel"/>
    <w:tmpl w:val="391C5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26AE0"/>
    <w:multiLevelType w:val="hybridMultilevel"/>
    <w:tmpl w:val="B1C43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5"/>
  </w:num>
  <w:num w:numId="4">
    <w:abstractNumId w:val="9"/>
  </w:num>
  <w:num w:numId="5">
    <w:abstractNumId w:val="6"/>
  </w:num>
  <w:num w:numId="6">
    <w:abstractNumId w:val="0"/>
  </w:num>
  <w:num w:numId="7">
    <w:abstractNumId w:val="7"/>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2"/>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75D"/>
    <w:rsid w:val="00003048"/>
    <w:rsid w:val="000143FD"/>
    <w:rsid w:val="0001610D"/>
    <w:rsid w:val="00020C35"/>
    <w:rsid w:val="00020EE1"/>
    <w:rsid w:val="000912F3"/>
    <w:rsid w:val="000C6BEA"/>
    <w:rsid w:val="00105C8C"/>
    <w:rsid w:val="00111518"/>
    <w:rsid w:val="001237F0"/>
    <w:rsid w:val="00126362"/>
    <w:rsid w:val="00142B47"/>
    <w:rsid w:val="001619FD"/>
    <w:rsid w:val="00184B8D"/>
    <w:rsid w:val="001A1CD6"/>
    <w:rsid w:val="001A253E"/>
    <w:rsid w:val="001C04E7"/>
    <w:rsid w:val="002C0E68"/>
    <w:rsid w:val="0031475D"/>
    <w:rsid w:val="003479C4"/>
    <w:rsid w:val="0035742B"/>
    <w:rsid w:val="0037586A"/>
    <w:rsid w:val="00432D50"/>
    <w:rsid w:val="004463CE"/>
    <w:rsid w:val="0045705B"/>
    <w:rsid w:val="00473758"/>
    <w:rsid w:val="004F0EB3"/>
    <w:rsid w:val="00530814"/>
    <w:rsid w:val="005314CC"/>
    <w:rsid w:val="00595D9A"/>
    <w:rsid w:val="005A72EF"/>
    <w:rsid w:val="0060244B"/>
    <w:rsid w:val="00616B0F"/>
    <w:rsid w:val="006238D1"/>
    <w:rsid w:val="00655CA6"/>
    <w:rsid w:val="00670748"/>
    <w:rsid w:val="00676EE1"/>
    <w:rsid w:val="00705ECC"/>
    <w:rsid w:val="00717E7F"/>
    <w:rsid w:val="007207A6"/>
    <w:rsid w:val="007366BC"/>
    <w:rsid w:val="007C1C9D"/>
    <w:rsid w:val="008106E4"/>
    <w:rsid w:val="00870606"/>
    <w:rsid w:val="0089746E"/>
    <w:rsid w:val="008C183F"/>
    <w:rsid w:val="008C3E27"/>
    <w:rsid w:val="008E26EB"/>
    <w:rsid w:val="00925FFD"/>
    <w:rsid w:val="009643C3"/>
    <w:rsid w:val="00973183"/>
    <w:rsid w:val="00982DBC"/>
    <w:rsid w:val="009969B7"/>
    <w:rsid w:val="009F7479"/>
    <w:rsid w:val="00A273C1"/>
    <w:rsid w:val="00A502A0"/>
    <w:rsid w:val="00A83919"/>
    <w:rsid w:val="00AD15A0"/>
    <w:rsid w:val="00AE055B"/>
    <w:rsid w:val="00AF1EB3"/>
    <w:rsid w:val="00AF3FE9"/>
    <w:rsid w:val="00B10093"/>
    <w:rsid w:val="00B17B66"/>
    <w:rsid w:val="00BA0BAC"/>
    <w:rsid w:val="00BC2709"/>
    <w:rsid w:val="00C772BA"/>
    <w:rsid w:val="00C81117"/>
    <w:rsid w:val="00CE281C"/>
    <w:rsid w:val="00CE3EED"/>
    <w:rsid w:val="00DC1592"/>
    <w:rsid w:val="00DC4542"/>
    <w:rsid w:val="00DF74DC"/>
    <w:rsid w:val="00DF7887"/>
    <w:rsid w:val="00E460FC"/>
    <w:rsid w:val="00E5665D"/>
    <w:rsid w:val="00F0660A"/>
    <w:rsid w:val="00FB6A79"/>
    <w:rsid w:val="00FD63BC"/>
    <w:rsid w:val="00FE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11D67"/>
  <w15:docId w15:val="{35F5B975-FFC4-41D2-8A45-3640714C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B66"/>
    <w:pPr>
      <w:ind w:left="720"/>
      <w:contextualSpacing/>
    </w:pPr>
  </w:style>
  <w:style w:type="character" w:styleId="Hyperlink">
    <w:name w:val="Hyperlink"/>
    <w:basedOn w:val="DefaultParagraphFont"/>
    <w:uiPriority w:val="99"/>
    <w:unhideWhenUsed/>
    <w:rsid w:val="00E46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82575">
      <w:bodyDiv w:val="1"/>
      <w:marLeft w:val="0"/>
      <w:marRight w:val="0"/>
      <w:marTop w:val="0"/>
      <w:marBottom w:val="0"/>
      <w:divBdr>
        <w:top w:val="none" w:sz="0" w:space="0" w:color="auto"/>
        <w:left w:val="none" w:sz="0" w:space="0" w:color="auto"/>
        <w:bottom w:val="none" w:sz="0" w:space="0" w:color="auto"/>
        <w:right w:val="none" w:sz="0" w:space="0" w:color="auto"/>
      </w:divBdr>
    </w:div>
    <w:div w:id="525750667">
      <w:bodyDiv w:val="1"/>
      <w:marLeft w:val="0"/>
      <w:marRight w:val="0"/>
      <w:marTop w:val="0"/>
      <w:marBottom w:val="0"/>
      <w:divBdr>
        <w:top w:val="none" w:sz="0" w:space="0" w:color="auto"/>
        <w:left w:val="none" w:sz="0" w:space="0" w:color="auto"/>
        <w:bottom w:val="none" w:sz="0" w:space="0" w:color="auto"/>
        <w:right w:val="none" w:sz="0" w:space="0" w:color="auto"/>
      </w:divBdr>
      <w:divsChild>
        <w:div w:id="2779823">
          <w:marLeft w:val="0"/>
          <w:marRight w:val="0"/>
          <w:marTop w:val="0"/>
          <w:marBottom w:val="0"/>
          <w:divBdr>
            <w:top w:val="none" w:sz="0" w:space="0" w:color="auto"/>
            <w:left w:val="none" w:sz="0" w:space="0" w:color="auto"/>
            <w:bottom w:val="none" w:sz="0" w:space="0" w:color="auto"/>
            <w:right w:val="none" w:sz="0" w:space="0" w:color="auto"/>
          </w:divBdr>
        </w:div>
        <w:div w:id="1624923250">
          <w:marLeft w:val="0"/>
          <w:marRight w:val="0"/>
          <w:marTop w:val="0"/>
          <w:marBottom w:val="0"/>
          <w:divBdr>
            <w:top w:val="none" w:sz="0" w:space="0" w:color="auto"/>
            <w:left w:val="none" w:sz="0" w:space="0" w:color="auto"/>
            <w:bottom w:val="none" w:sz="0" w:space="0" w:color="auto"/>
            <w:right w:val="none" w:sz="0" w:space="0" w:color="auto"/>
          </w:divBdr>
        </w:div>
      </w:divsChild>
    </w:div>
    <w:div w:id="533274593">
      <w:bodyDiv w:val="1"/>
      <w:marLeft w:val="0"/>
      <w:marRight w:val="0"/>
      <w:marTop w:val="0"/>
      <w:marBottom w:val="0"/>
      <w:divBdr>
        <w:top w:val="none" w:sz="0" w:space="0" w:color="auto"/>
        <w:left w:val="none" w:sz="0" w:space="0" w:color="auto"/>
        <w:bottom w:val="none" w:sz="0" w:space="0" w:color="auto"/>
        <w:right w:val="none" w:sz="0" w:space="0" w:color="auto"/>
      </w:divBdr>
      <w:divsChild>
        <w:div w:id="193275900">
          <w:marLeft w:val="0"/>
          <w:marRight w:val="0"/>
          <w:marTop w:val="0"/>
          <w:marBottom w:val="0"/>
          <w:divBdr>
            <w:top w:val="none" w:sz="0" w:space="0" w:color="auto"/>
            <w:left w:val="none" w:sz="0" w:space="0" w:color="auto"/>
            <w:bottom w:val="none" w:sz="0" w:space="0" w:color="auto"/>
            <w:right w:val="none" w:sz="0" w:space="0" w:color="auto"/>
          </w:divBdr>
        </w:div>
        <w:div w:id="280917435">
          <w:marLeft w:val="0"/>
          <w:marRight w:val="0"/>
          <w:marTop w:val="0"/>
          <w:marBottom w:val="0"/>
          <w:divBdr>
            <w:top w:val="none" w:sz="0" w:space="0" w:color="auto"/>
            <w:left w:val="none" w:sz="0" w:space="0" w:color="auto"/>
            <w:bottom w:val="none" w:sz="0" w:space="0" w:color="auto"/>
            <w:right w:val="none" w:sz="0" w:space="0" w:color="auto"/>
          </w:divBdr>
        </w:div>
        <w:div w:id="874578241">
          <w:marLeft w:val="0"/>
          <w:marRight w:val="0"/>
          <w:marTop w:val="0"/>
          <w:marBottom w:val="0"/>
          <w:divBdr>
            <w:top w:val="none" w:sz="0" w:space="0" w:color="auto"/>
            <w:left w:val="none" w:sz="0" w:space="0" w:color="auto"/>
            <w:bottom w:val="none" w:sz="0" w:space="0" w:color="auto"/>
            <w:right w:val="none" w:sz="0" w:space="0" w:color="auto"/>
          </w:divBdr>
        </w:div>
        <w:div w:id="826555739">
          <w:marLeft w:val="0"/>
          <w:marRight w:val="0"/>
          <w:marTop w:val="0"/>
          <w:marBottom w:val="0"/>
          <w:divBdr>
            <w:top w:val="none" w:sz="0" w:space="0" w:color="auto"/>
            <w:left w:val="none" w:sz="0" w:space="0" w:color="auto"/>
            <w:bottom w:val="none" w:sz="0" w:space="0" w:color="auto"/>
            <w:right w:val="none" w:sz="0" w:space="0" w:color="auto"/>
          </w:divBdr>
        </w:div>
        <w:div w:id="1420522164">
          <w:marLeft w:val="0"/>
          <w:marRight w:val="0"/>
          <w:marTop w:val="0"/>
          <w:marBottom w:val="0"/>
          <w:divBdr>
            <w:top w:val="none" w:sz="0" w:space="0" w:color="auto"/>
            <w:left w:val="none" w:sz="0" w:space="0" w:color="auto"/>
            <w:bottom w:val="none" w:sz="0" w:space="0" w:color="auto"/>
            <w:right w:val="none" w:sz="0" w:space="0" w:color="auto"/>
          </w:divBdr>
          <w:divsChild>
            <w:div w:id="1343819058">
              <w:marLeft w:val="0"/>
              <w:marRight w:val="0"/>
              <w:marTop w:val="0"/>
              <w:marBottom w:val="0"/>
              <w:divBdr>
                <w:top w:val="none" w:sz="0" w:space="0" w:color="auto"/>
                <w:left w:val="none" w:sz="0" w:space="0" w:color="auto"/>
                <w:bottom w:val="none" w:sz="0" w:space="0" w:color="auto"/>
                <w:right w:val="none" w:sz="0" w:space="0" w:color="auto"/>
              </w:divBdr>
              <w:divsChild>
                <w:div w:id="1608805286">
                  <w:marLeft w:val="0"/>
                  <w:marRight w:val="0"/>
                  <w:marTop w:val="0"/>
                  <w:marBottom w:val="0"/>
                  <w:divBdr>
                    <w:top w:val="none" w:sz="0" w:space="0" w:color="auto"/>
                    <w:left w:val="none" w:sz="0" w:space="0" w:color="auto"/>
                    <w:bottom w:val="none" w:sz="0" w:space="0" w:color="auto"/>
                    <w:right w:val="none" w:sz="0" w:space="0" w:color="auto"/>
                  </w:divBdr>
                </w:div>
                <w:div w:id="1596475938">
                  <w:marLeft w:val="0"/>
                  <w:marRight w:val="0"/>
                  <w:marTop w:val="0"/>
                  <w:marBottom w:val="0"/>
                  <w:divBdr>
                    <w:top w:val="none" w:sz="0" w:space="0" w:color="auto"/>
                    <w:left w:val="none" w:sz="0" w:space="0" w:color="auto"/>
                    <w:bottom w:val="none" w:sz="0" w:space="0" w:color="auto"/>
                    <w:right w:val="none" w:sz="0" w:space="0" w:color="auto"/>
                  </w:divBdr>
                </w:div>
                <w:div w:id="562104624">
                  <w:marLeft w:val="0"/>
                  <w:marRight w:val="0"/>
                  <w:marTop w:val="0"/>
                  <w:marBottom w:val="0"/>
                  <w:divBdr>
                    <w:top w:val="none" w:sz="0" w:space="0" w:color="auto"/>
                    <w:left w:val="none" w:sz="0" w:space="0" w:color="auto"/>
                    <w:bottom w:val="none" w:sz="0" w:space="0" w:color="auto"/>
                    <w:right w:val="none" w:sz="0" w:space="0" w:color="auto"/>
                  </w:divBdr>
                </w:div>
                <w:div w:id="2011174861">
                  <w:marLeft w:val="0"/>
                  <w:marRight w:val="0"/>
                  <w:marTop w:val="0"/>
                  <w:marBottom w:val="0"/>
                  <w:divBdr>
                    <w:top w:val="none" w:sz="0" w:space="0" w:color="auto"/>
                    <w:left w:val="none" w:sz="0" w:space="0" w:color="auto"/>
                    <w:bottom w:val="none" w:sz="0" w:space="0" w:color="auto"/>
                    <w:right w:val="none" w:sz="0" w:space="0" w:color="auto"/>
                  </w:divBdr>
                </w:div>
                <w:div w:id="563487883">
                  <w:marLeft w:val="0"/>
                  <w:marRight w:val="0"/>
                  <w:marTop w:val="0"/>
                  <w:marBottom w:val="0"/>
                  <w:divBdr>
                    <w:top w:val="none" w:sz="0" w:space="0" w:color="auto"/>
                    <w:left w:val="none" w:sz="0" w:space="0" w:color="auto"/>
                    <w:bottom w:val="none" w:sz="0" w:space="0" w:color="auto"/>
                    <w:right w:val="none" w:sz="0" w:space="0" w:color="auto"/>
                  </w:divBdr>
                </w:div>
                <w:div w:id="2077898333">
                  <w:marLeft w:val="0"/>
                  <w:marRight w:val="0"/>
                  <w:marTop w:val="0"/>
                  <w:marBottom w:val="0"/>
                  <w:divBdr>
                    <w:top w:val="none" w:sz="0" w:space="0" w:color="auto"/>
                    <w:left w:val="none" w:sz="0" w:space="0" w:color="auto"/>
                    <w:bottom w:val="none" w:sz="0" w:space="0" w:color="auto"/>
                    <w:right w:val="none" w:sz="0" w:space="0" w:color="auto"/>
                  </w:divBdr>
                </w:div>
                <w:div w:id="7777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850994">
      <w:bodyDiv w:val="1"/>
      <w:marLeft w:val="0"/>
      <w:marRight w:val="0"/>
      <w:marTop w:val="0"/>
      <w:marBottom w:val="0"/>
      <w:divBdr>
        <w:top w:val="none" w:sz="0" w:space="0" w:color="auto"/>
        <w:left w:val="none" w:sz="0" w:space="0" w:color="auto"/>
        <w:bottom w:val="none" w:sz="0" w:space="0" w:color="auto"/>
        <w:right w:val="none" w:sz="0" w:space="0" w:color="auto"/>
      </w:divBdr>
      <w:divsChild>
        <w:div w:id="468983729">
          <w:marLeft w:val="0"/>
          <w:marRight w:val="0"/>
          <w:marTop w:val="0"/>
          <w:marBottom w:val="0"/>
          <w:divBdr>
            <w:top w:val="none" w:sz="0" w:space="0" w:color="auto"/>
            <w:left w:val="none" w:sz="0" w:space="0" w:color="auto"/>
            <w:bottom w:val="none" w:sz="0" w:space="0" w:color="auto"/>
            <w:right w:val="none" w:sz="0" w:space="0" w:color="auto"/>
          </w:divBdr>
        </w:div>
        <w:div w:id="1563981235">
          <w:marLeft w:val="0"/>
          <w:marRight w:val="0"/>
          <w:marTop w:val="0"/>
          <w:marBottom w:val="0"/>
          <w:divBdr>
            <w:top w:val="none" w:sz="0" w:space="0" w:color="auto"/>
            <w:left w:val="none" w:sz="0" w:space="0" w:color="auto"/>
            <w:bottom w:val="none" w:sz="0" w:space="0" w:color="auto"/>
            <w:right w:val="none" w:sz="0" w:space="0" w:color="auto"/>
          </w:divBdr>
        </w:div>
        <w:div w:id="2019235928">
          <w:marLeft w:val="0"/>
          <w:marRight w:val="0"/>
          <w:marTop w:val="0"/>
          <w:marBottom w:val="0"/>
          <w:divBdr>
            <w:top w:val="none" w:sz="0" w:space="0" w:color="auto"/>
            <w:left w:val="none" w:sz="0" w:space="0" w:color="auto"/>
            <w:bottom w:val="none" w:sz="0" w:space="0" w:color="auto"/>
            <w:right w:val="none" w:sz="0" w:space="0" w:color="auto"/>
          </w:divBdr>
        </w:div>
        <w:div w:id="143549207">
          <w:marLeft w:val="0"/>
          <w:marRight w:val="0"/>
          <w:marTop w:val="0"/>
          <w:marBottom w:val="0"/>
          <w:divBdr>
            <w:top w:val="none" w:sz="0" w:space="0" w:color="auto"/>
            <w:left w:val="none" w:sz="0" w:space="0" w:color="auto"/>
            <w:bottom w:val="none" w:sz="0" w:space="0" w:color="auto"/>
            <w:right w:val="none" w:sz="0" w:space="0" w:color="auto"/>
          </w:divBdr>
        </w:div>
        <w:div w:id="413280057">
          <w:marLeft w:val="0"/>
          <w:marRight w:val="0"/>
          <w:marTop w:val="0"/>
          <w:marBottom w:val="0"/>
          <w:divBdr>
            <w:top w:val="none" w:sz="0" w:space="0" w:color="auto"/>
            <w:left w:val="none" w:sz="0" w:space="0" w:color="auto"/>
            <w:bottom w:val="none" w:sz="0" w:space="0" w:color="auto"/>
            <w:right w:val="none" w:sz="0" w:space="0" w:color="auto"/>
          </w:divBdr>
        </w:div>
        <w:div w:id="910701696">
          <w:marLeft w:val="0"/>
          <w:marRight w:val="0"/>
          <w:marTop w:val="0"/>
          <w:marBottom w:val="0"/>
          <w:divBdr>
            <w:top w:val="none" w:sz="0" w:space="0" w:color="auto"/>
            <w:left w:val="none" w:sz="0" w:space="0" w:color="auto"/>
            <w:bottom w:val="none" w:sz="0" w:space="0" w:color="auto"/>
            <w:right w:val="none" w:sz="0" w:space="0" w:color="auto"/>
          </w:divBdr>
        </w:div>
        <w:div w:id="404693802">
          <w:marLeft w:val="0"/>
          <w:marRight w:val="0"/>
          <w:marTop w:val="0"/>
          <w:marBottom w:val="0"/>
          <w:divBdr>
            <w:top w:val="none" w:sz="0" w:space="0" w:color="auto"/>
            <w:left w:val="none" w:sz="0" w:space="0" w:color="auto"/>
            <w:bottom w:val="none" w:sz="0" w:space="0" w:color="auto"/>
            <w:right w:val="none" w:sz="0" w:space="0" w:color="auto"/>
          </w:divBdr>
        </w:div>
        <w:div w:id="166873097">
          <w:marLeft w:val="0"/>
          <w:marRight w:val="0"/>
          <w:marTop w:val="0"/>
          <w:marBottom w:val="0"/>
          <w:divBdr>
            <w:top w:val="none" w:sz="0" w:space="0" w:color="auto"/>
            <w:left w:val="none" w:sz="0" w:space="0" w:color="auto"/>
            <w:bottom w:val="none" w:sz="0" w:space="0" w:color="auto"/>
            <w:right w:val="none" w:sz="0" w:space="0" w:color="auto"/>
          </w:divBdr>
        </w:div>
        <w:div w:id="796072749">
          <w:marLeft w:val="0"/>
          <w:marRight w:val="0"/>
          <w:marTop w:val="0"/>
          <w:marBottom w:val="0"/>
          <w:divBdr>
            <w:top w:val="none" w:sz="0" w:space="0" w:color="auto"/>
            <w:left w:val="none" w:sz="0" w:space="0" w:color="auto"/>
            <w:bottom w:val="none" w:sz="0" w:space="0" w:color="auto"/>
            <w:right w:val="none" w:sz="0" w:space="0" w:color="auto"/>
          </w:divBdr>
        </w:div>
        <w:div w:id="480583282">
          <w:marLeft w:val="0"/>
          <w:marRight w:val="0"/>
          <w:marTop w:val="0"/>
          <w:marBottom w:val="0"/>
          <w:divBdr>
            <w:top w:val="none" w:sz="0" w:space="0" w:color="auto"/>
            <w:left w:val="none" w:sz="0" w:space="0" w:color="auto"/>
            <w:bottom w:val="none" w:sz="0" w:space="0" w:color="auto"/>
            <w:right w:val="none" w:sz="0" w:space="0" w:color="auto"/>
          </w:divBdr>
        </w:div>
        <w:div w:id="414011038">
          <w:marLeft w:val="0"/>
          <w:marRight w:val="0"/>
          <w:marTop w:val="0"/>
          <w:marBottom w:val="0"/>
          <w:divBdr>
            <w:top w:val="none" w:sz="0" w:space="0" w:color="auto"/>
            <w:left w:val="none" w:sz="0" w:space="0" w:color="auto"/>
            <w:bottom w:val="none" w:sz="0" w:space="0" w:color="auto"/>
            <w:right w:val="none" w:sz="0" w:space="0" w:color="auto"/>
          </w:divBdr>
        </w:div>
      </w:divsChild>
    </w:div>
    <w:div w:id="1041058155">
      <w:bodyDiv w:val="1"/>
      <w:marLeft w:val="0"/>
      <w:marRight w:val="0"/>
      <w:marTop w:val="0"/>
      <w:marBottom w:val="0"/>
      <w:divBdr>
        <w:top w:val="none" w:sz="0" w:space="0" w:color="auto"/>
        <w:left w:val="none" w:sz="0" w:space="0" w:color="auto"/>
        <w:bottom w:val="none" w:sz="0" w:space="0" w:color="auto"/>
        <w:right w:val="none" w:sz="0" w:space="0" w:color="auto"/>
      </w:divBdr>
    </w:div>
    <w:div w:id="1672489262">
      <w:bodyDiv w:val="1"/>
      <w:marLeft w:val="0"/>
      <w:marRight w:val="0"/>
      <w:marTop w:val="0"/>
      <w:marBottom w:val="0"/>
      <w:divBdr>
        <w:top w:val="none" w:sz="0" w:space="0" w:color="auto"/>
        <w:left w:val="none" w:sz="0" w:space="0" w:color="auto"/>
        <w:bottom w:val="none" w:sz="0" w:space="0" w:color="auto"/>
        <w:right w:val="none" w:sz="0" w:space="0" w:color="auto"/>
      </w:divBdr>
      <w:divsChild>
        <w:div w:id="295912559">
          <w:marLeft w:val="0"/>
          <w:marRight w:val="0"/>
          <w:marTop w:val="0"/>
          <w:marBottom w:val="0"/>
          <w:divBdr>
            <w:top w:val="none" w:sz="0" w:space="0" w:color="auto"/>
            <w:left w:val="none" w:sz="0" w:space="0" w:color="auto"/>
            <w:bottom w:val="none" w:sz="0" w:space="0" w:color="auto"/>
            <w:right w:val="none" w:sz="0" w:space="0" w:color="auto"/>
          </w:divBdr>
        </w:div>
      </w:divsChild>
    </w:div>
    <w:div w:id="18707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1164</TotalTime>
  <Pages>2</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Perloff, Anne</cp:lastModifiedBy>
  <cp:revision>61</cp:revision>
  <cp:lastPrinted>2016-09-12T16:48:00Z</cp:lastPrinted>
  <dcterms:created xsi:type="dcterms:W3CDTF">2013-08-21T17:04:00Z</dcterms:created>
  <dcterms:modified xsi:type="dcterms:W3CDTF">2019-03-04T13:39:00Z</dcterms:modified>
</cp:coreProperties>
</file>